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07750A65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5F09CC">
        <w:rPr>
          <w:rFonts w:cs="Arial"/>
          <w:bCs/>
          <w:noProof w:val="0"/>
          <w:sz w:val="24"/>
          <w:szCs w:val="24"/>
          <w:lang w:val="en-GB"/>
        </w:rPr>
        <w:t>1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32318F">
        <w:rPr>
          <w:rFonts w:cs="Arial"/>
          <w:noProof w:val="0"/>
          <w:color w:val="000000" w:themeColor="text1"/>
          <w:sz w:val="24"/>
          <w:szCs w:val="24"/>
          <w:lang w:val="en-GB"/>
        </w:rPr>
        <w:t>R4-190664</w:t>
      </w:r>
      <w:r w:rsidR="00E03CCE">
        <w:rPr>
          <w:rFonts w:cs="Arial"/>
          <w:noProof w:val="0"/>
          <w:color w:val="000000" w:themeColor="text1"/>
          <w:sz w:val="24"/>
          <w:szCs w:val="24"/>
          <w:lang w:val="en-GB"/>
        </w:rPr>
        <w:t>6</w:t>
      </w:r>
    </w:p>
    <w:p w14:paraId="1B507A1A" w14:textId="6187FFD3" w:rsidR="00BD53D3" w:rsidRDefault="005F09CC" w:rsidP="00BD5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53D3"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BD53D3" w:rsidRPr="009A1AEC">
        <w:rPr>
          <w:b/>
          <w:noProof/>
          <w:sz w:val="24"/>
        </w:rPr>
        <w:t>,</w:t>
      </w:r>
      <w:r w:rsidR="00047A20">
        <w:rPr>
          <w:b/>
          <w:noProof/>
          <w:sz w:val="24"/>
        </w:rPr>
        <w:t xml:space="preserve"> USA,</w:t>
      </w:r>
      <w:r w:rsidR="00BD53D3" w:rsidRPr="009A1A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9A1AEC">
        <w:rPr>
          <w:b/>
          <w:noProof/>
          <w:sz w:val="24"/>
          <w:vertAlign w:val="superscript"/>
        </w:rPr>
        <w:t>th</w:t>
      </w:r>
      <w:r w:rsidRPr="009A1AEC">
        <w:rPr>
          <w:b/>
          <w:noProof/>
          <w:sz w:val="24"/>
        </w:rPr>
        <w:t xml:space="preserve"> </w:t>
      </w:r>
      <w:r w:rsidR="00BD53D3" w:rsidRPr="009A1AEC">
        <w:rPr>
          <w:b/>
          <w:noProof/>
          <w:sz w:val="24"/>
        </w:rPr>
        <w:t xml:space="preserve">– </w:t>
      </w:r>
      <w:r w:rsidRPr="009A1AE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Pr="009A1AE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Pr="009A1A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53D3" w:rsidRPr="009A1AEC">
        <w:rPr>
          <w:b/>
          <w:noProof/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71CC1EEB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0D0A91" w:rsidRPr="000D0A91">
        <w:rPr>
          <w:rFonts w:cs="Arial"/>
          <w:b/>
          <w:bCs/>
          <w:sz w:val="24"/>
        </w:rPr>
        <w:t>6.</w:t>
      </w:r>
      <w:r w:rsidR="00E03CCE">
        <w:rPr>
          <w:rFonts w:cs="Arial"/>
          <w:b/>
          <w:bCs/>
          <w:sz w:val="24"/>
        </w:rPr>
        <w:t>2</w:t>
      </w:r>
      <w:r w:rsidR="000D0A91" w:rsidRPr="000D0A91">
        <w:rPr>
          <w:rFonts w:cs="Arial"/>
          <w:b/>
          <w:bCs/>
          <w:sz w:val="24"/>
        </w:rPr>
        <w:t>.2</w:t>
      </w:r>
      <w:bookmarkStart w:id="2" w:name="_GoBack"/>
      <w:bookmarkEnd w:id="2"/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745F5369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E03CCE" w:rsidRPr="00E03CCE">
        <w:rPr>
          <w:rFonts w:ascii="Arial" w:hAnsi="Arial" w:cs="Arial"/>
          <w:b/>
          <w:bCs/>
          <w:color w:val="000000" w:themeColor="text1"/>
        </w:rPr>
        <w:t>Discussion on gap sharing scheme in NR-DC</w:t>
      </w:r>
      <w:r w:rsidR="00E03CCE">
        <w:rPr>
          <w:rFonts w:ascii="Arial" w:hAnsi="Arial" w:cs="Arial"/>
          <w:b/>
          <w:bCs/>
          <w:color w:val="000000" w:themeColor="text1"/>
        </w:rPr>
        <w:t xml:space="preserve"> and NE-DC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E7FBA06" w14:textId="293FC310" w:rsidR="00415949" w:rsidRPr="009D1A11" w:rsidRDefault="000D0A91" w:rsidP="00EA604C">
      <w:pPr>
        <w:rPr>
          <w:rFonts w:cs="Arial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0D0A91">
        <w:rPr>
          <w:rFonts w:ascii="Arial" w:hAnsi="Arial" w:cs="Arial"/>
        </w:rPr>
        <w:t xml:space="preserve">In </w:t>
      </w:r>
      <w:r w:rsidR="00E03CCE" w:rsidRPr="00E03CCE">
        <w:rPr>
          <w:rFonts w:ascii="Arial" w:hAnsi="Arial" w:cs="Arial"/>
        </w:rPr>
        <w:t>RAN4#90</w:t>
      </w:r>
      <w:r w:rsidR="00E03CCE">
        <w:rPr>
          <w:rFonts w:ascii="Arial" w:hAnsi="Arial" w:cs="Arial"/>
        </w:rPr>
        <w:t>, a WF</w:t>
      </w:r>
      <w:r w:rsidR="00EA604C">
        <w:rPr>
          <w:rFonts w:ascii="Arial" w:hAnsi="Arial" w:cs="Arial"/>
        </w:rPr>
        <w:t xml:space="preserve"> </w:t>
      </w:r>
      <w:r w:rsidR="00E03CCE">
        <w:rPr>
          <w:rFonts w:ascii="Arial" w:hAnsi="Arial" w:cs="Arial"/>
        </w:rPr>
        <w:t>[1] was proposed to introduce</w:t>
      </w:r>
      <w:r w:rsidR="00E03CCE" w:rsidRPr="00E03CCE">
        <w:rPr>
          <w:rFonts w:ascii="Arial" w:hAnsi="Arial" w:cs="Arial"/>
        </w:rPr>
        <w:t xml:space="preserve"> a modified </w:t>
      </w:r>
      <w:r w:rsidR="00E03CCE">
        <w:rPr>
          <w:rFonts w:ascii="Arial" w:hAnsi="Arial" w:cs="Arial"/>
        </w:rPr>
        <w:t xml:space="preserve">gap sharing </w:t>
      </w:r>
      <w:r w:rsidR="00E03CCE" w:rsidRPr="00E03CCE">
        <w:rPr>
          <w:rFonts w:ascii="Arial" w:hAnsi="Arial" w:cs="Arial"/>
        </w:rPr>
        <w:t xml:space="preserve">scheme </w:t>
      </w:r>
      <w:r w:rsidR="00E03CCE">
        <w:rPr>
          <w:rFonts w:ascii="Arial" w:hAnsi="Arial" w:cs="Arial"/>
        </w:rPr>
        <w:t xml:space="preserve">in </w:t>
      </w:r>
      <w:r w:rsidR="00E03CCE" w:rsidRPr="00E03CCE">
        <w:rPr>
          <w:rFonts w:ascii="Arial" w:hAnsi="Arial" w:cs="Arial"/>
        </w:rPr>
        <w:t>NE-DC and NR-DC</w:t>
      </w:r>
      <w:r w:rsidR="00EA604C">
        <w:rPr>
          <w:rFonts w:ascii="Arial" w:hAnsi="Arial" w:cs="Arial"/>
        </w:rPr>
        <w:t>. The modified scheme t</w:t>
      </w:r>
      <w:r w:rsidR="00E03CCE">
        <w:rPr>
          <w:rFonts w:ascii="Arial" w:hAnsi="Arial" w:cs="Arial"/>
        </w:rPr>
        <w:t>ry to prioritize the FR1</w:t>
      </w:r>
      <w:r w:rsidR="00E03CCE" w:rsidRPr="00E03CCE">
        <w:rPr>
          <w:rFonts w:ascii="Arial" w:hAnsi="Arial" w:cs="Arial"/>
        </w:rPr>
        <w:t xml:space="preserve"> intra-frequency </w:t>
      </w:r>
      <w:r w:rsidR="00E03CCE">
        <w:rPr>
          <w:rFonts w:ascii="Arial" w:hAnsi="Arial" w:cs="Arial"/>
        </w:rPr>
        <w:t>measurement objects only</w:t>
      </w:r>
      <w:r w:rsidR="00E03CCE" w:rsidRPr="00E03CCE">
        <w:rPr>
          <w:rFonts w:ascii="Arial" w:hAnsi="Arial" w:cs="Arial"/>
        </w:rPr>
        <w:t xml:space="preserve">. In this </w:t>
      </w:r>
      <w:r w:rsidR="00E03CCE">
        <w:rPr>
          <w:rFonts w:ascii="Arial" w:hAnsi="Arial" w:cs="Arial"/>
        </w:rPr>
        <w:t>paper</w:t>
      </w:r>
      <w:r w:rsidR="00E03CCE" w:rsidRPr="00E03CCE">
        <w:rPr>
          <w:rFonts w:ascii="Arial" w:hAnsi="Arial" w:cs="Arial"/>
        </w:rPr>
        <w:t xml:space="preserve">, we </w:t>
      </w:r>
      <w:r w:rsidR="00E03CCE">
        <w:rPr>
          <w:rFonts w:ascii="Arial" w:hAnsi="Arial" w:cs="Arial"/>
        </w:rPr>
        <w:t xml:space="preserve">show that the prioritization can also be achieved by the original gap sharing scheme in EN-DC and SA. Besides, we also discuss </w:t>
      </w:r>
      <w:r w:rsidR="00E03CCE" w:rsidRPr="00E03CCE">
        <w:rPr>
          <w:rFonts w:ascii="Arial" w:hAnsi="Arial" w:cs="Arial"/>
        </w:rPr>
        <w:t xml:space="preserve">the </w:t>
      </w:r>
      <w:r w:rsidR="00E03CCE">
        <w:rPr>
          <w:rFonts w:ascii="Helvetica" w:hAnsi="Helvetica" w:cs="Helvetica"/>
          <w:color w:val="000000"/>
          <w:shd w:val="clear" w:color="auto" w:fill="FFFFFF"/>
        </w:rPr>
        <w:t>drawback</w:t>
      </w:r>
      <w:r w:rsidR="00E03CCE" w:rsidRPr="00E03CCE">
        <w:rPr>
          <w:rFonts w:ascii="Arial" w:hAnsi="Arial" w:cs="Arial"/>
        </w:rPr>
        <w:t xml:space="preserve">s of this </w:t>
      </w:r>
      <w:r w:rsidR="00E03CCE" w:rsidRPr="00E03CCE">
        <w:rPr>
          <w:rFonts w:ascii="Arial" w:hAnsi="Arial" w:cs="Arial"/>
        </w:rPr>
        <w:t xml:space="preserve">modified </w:t>
      </w:r>
      <w:r w:rsidR="00E03CCE">
        <w:rPr>
          <w:rFonts w:ascii="Arial" w:hAnsi="Arial" w:cs="Arial"/>
        </w:rPr>
        <w:t xml:space="preserve">gap sharing </w:t>
      </w:r>
      <w:r w:rsidR="00E03CCE" w:rsidRPr="00E03CCE">
        <w:rPr>
          <w:rFonts w:ascii="Arial" w:hAnsi="Arial" w:cs="Arial"/>
        </w:rPr>
        <w:t>scheme</w:t>
      </w:r>
      <w:r w:rsidR="00E03CCE" w:rsidRPr="00E03CCE">
        <w:rPr>
          <w:rFonts w:ascii="Arial" w:hAnsi="Arial" w:cs="Arial"/>
        </w:rPr>
        <w:t>.</w:t>
      </w: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1AB05C1F" w14:textId="4CAC1844" w:rsidR="00E03CCE" w:rsidRDefault="00E03CCE" w:rsidP="00616CE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prioritize the FR1 intra-frequency measurement object (MO), according to the current spec, the following 2 methods can be adopted:</w:t>
      </w:r>
    </w:p>
    <w:p w14:paraId="3AF56CF4" w14:textId="77777777" w:rsidR="00E03CCE" w:rsidRDefault="00E03CCE" w:rsidP="00E03CCE">
      <w:pPr>
        <w:pStyle w:val="ListParagraph"/>
        <w:numPr>
          <w:ilvl w:val="0"/>
          <w:numId w:val="8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Measurement conducted outside gap:</w:t>
      </w:r>
    </w:p>
    <w:p w14:paraId="2D475F98" w14:textId="2B69B5BE" w:rsidR="00E03CCE" w:rsidRPr="00EA604C" w:rsidRDefault="00E03CCE" w:rsidP="00EA604C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Set SMTC periodicities of FR1 intra-freq. MOs to be </w:t>
      </w:r>
      <w:r>
        <w:rPr>
          <w:rFonts w:ascii="Arial" w:hAnsi="Arial" w:cs="Arial"/>
          <w:lang w:val="en-GB"/>
        </w:rPr>
        <w:t>always</w:t>
      </w:r>
      <w:r>
        <w:rPr>
          <w:rFonts w:ascii="Arial" w:hAnsi="Arial" w:cs="Arial"/>
          <w:lang w:val="en-GB"/>
        </w:rPr>
        <w:t xml:space="preserve"> smaller than MGRP</w:t>
      </w:r>
      <w:r w:rsidR="00EA604C">
        <w:rPr>
          <w:rFonts w:ascii="Arial" w:hAnsi="Arial" w:cs="Arial"/>
          <w:lang w:val="en-GB"/>
        </w:rPr>
        <w:t>:</w:t>
      </w:r>
      <w:r>
        <w:rPr>
          <w:rFonts w:ascii="Arial" w:hAnsi="Arial" w:cs="Arial"/>
          <w:lang w:val="en-GB"/>
        </w:rPr>
        <w:br/>
      </w:r>
      <w:r w:rsidRPr="00EA604C">
        <w:rPr>
          <w:rFonts w:ascii="Arial" w:hAnsi="Arial" w:cs="Arial"/>
          <w:lang w:val="en-GB"/>
        </w:rPr>
        <w:t xml:space="preserve">It was agreed that measurement of intra-freq. </w:t>
      </w:r>
      <w:r w:rsidR="00EA604C">
        <w:rPr>
          <w:rFonts w:ascii="Arial" w:hAnsi="Arial" w:cs="Arial"/>
          <w:lang w:val="en-GB"/>
        </w:rPr>
        <w:t>measurement without gap</w:t>
      </w:r>
      <w:r w:rsidRPr="00EA604C">
        <w:rPr>
          <w:rFonts w:ascii="Arial" w:hAnsi="Arial" w:cs="Arial"/>
          <w:lang w:val="en-GB"/>
        </w:rPr>
        <w:t xml:space="preserve"> in this scenario can only be conducted outside the measurement gap. If long MGRP is used, the </w:t>
      </w:r>
      <w:r w:rsidRPr="00EA604C">
        <w:rPr>
          <w:rFonts w:ascii="Arial" w:hAnsi="Arial" w:cs="Arial"/>
          <w:lang w:val="en-GB"/>
        </w:rPr>
        <w:t>measurement of intra-freq. MO</w:t>
      </w:r>
      <w:r w:rsidRPr="00EA604C">
        <w:rPr>
          <w:rFonts w:ascii="Arial" w:hAnsi="Arial" w:cs="Arial"/>
          <w:lang w:val="en-GB"/>
        </w:rPr>
        <w:t>s will be prioritized</w:t>
      </w:r>
      <w:r w:rsidR="00EA604C">
        <w:rPr>
          <w:rFonts w:ascii="Arial" w:hAnsi="Arial" w:cs="Arial"/>
          <w:lang w:val="en-GB"/>
        </w:rPr>
        <w:t>.</w:t>
      </w:r>
      <w:r w:rsidRPr="00EA604C">
        <w:rPr>
          <w:rFonts w:ascii="Arial" w:hAnsi="Arial" w:cs="Arial"/>
          <w:lang w:val="en-GB"/>
        </w:rPr>
        <w:t xml:space="preserve"> </w:t>
      </w:r>
    </w:p>
    <w:p w14:paraId="749A1AF1" w14:textId="77777777" w:rsidR="00E03CCE" w:rsidRDefault="00E03CCE" w:rsidP="00E03CCE">
      <w:pPr>
        <w:pStyle w:val="ListParagraph"/>
        <w:numPr>
          <w:ilvl w:val="0"/>
          <w:numId w:val="8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Measurement conducted </w:t>
      </w:r>
      <w:r>
        <w:rPr>
          <w:rFonts w:ascii="Arial" w:hAnsi="Arial" w:cs="Arial"/>
          <w:lang w:val="en-GB"/>
        </w:rPr>
        <w:t>within gap:</w:t>
      </w:r>
    </w:p>
    <w:p w14:paraId="61DDD6B2" w14:textId="7B523562" w:rsidR="00E03CCE" w:rsidRDefault="00E03CCE" w:rsidP="00EA604C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Set SMTC periodicities of FR1 intra-freq. MOs to be always smaller than SMTC periodicities of FR</w:t>
      </w:r>
      <w:r>
        <w:rPr>
          <w:rFonts w:ascii="Arial" w:hAnsi="Arial" w:cs="Arial"/>
          <w:lang w:val="en-GB"/>
        </w:rPr>
        <w:t>2</w:t>
      </w:r>
      <w:r>
        <w:rPr>
          <w:rFonts w:ascii="Arial" w:hAnsi="Arial" w:cs="Arial"/>
          <w:lang w:val="en-GB"/>
        </w:rPr>
        <w:t xml:space="preserve"> intra-freq. MOs</w:t>
      </w:r>
      <w:r>
        <w:rPr>
          <w:rFonts w:ascii="Arial" w:hAnsi="Arial" w:cs="Arial"/>
          <w:lang w:val="en-GB"/>
        </w:rPr>
        <w:t xml:space="preserve">:  </w:t>
      </w:r>
    </w:p>
    <w:p w14:paraId="5EEB81D4" w14:textId="73615168" w:rsidR="00E03CCE" w:rsidRDefault="00E03CCE" w:rsidP="00E03CCE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Separate </w:t>
      </w:r>
      <w:r>
        <w:rPr>
          <w:rFonts w:ascii="Arial" w:hAnsi="Arial" w:cs="Arial"/>
          <w:lang w:val="en-GB"/>
        </w:rPr>
        <w:t xml:space="preserve">FR1 intra-freq. MOs </w:t>
      </w:r>
      <w:r>
        <w:rPr>
          <w:rFonts w:ascii="Arial" w:hAnsi="Arial" w:cs="Arial"/>
          <w:lang w:val="en-GB"/>
        </w:rPr>
        <w:t>and FR2</w:t>
      </w:r>
      <w:r>
        <w:rPr>
          <w:rFonts w:ascii="Arial" w:hAnsi="Arial" w:cs="Arial"/>
          <w:lang w:val="en-GB"/>
        </w:rPr>
        <w:t xml:space="preserve"> intra-freq. MOs</w:t>
      </w:r>
      <w:r>
        <w:rPr>
          <w:rFonts w:ascii="Arial" w:hAnsi="Arial" w:cs="Arial"/>
          <w:lang w:val="en-GB"/>
        </w:rPr>
        <w:t xml:space="preserve"> by 2 different </w:t>
      </w:r>
      <w:r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>MTC offset</w:t>
      </w:r>
      <w:r w:rsidR="00EA604C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>:</w:t>
      </w:r>
    </w:p>
    <w:p w14:paraId="67A1C557" w14:textId="4AAE434A" w:rsidR="00E03CCE" w:rsidRDefault="00EA604C" w:rsidP="00EA604C">
      <w:pPr>
        <w:pStyle w:val="Caption"/>
        <w:rPr>
          <w:rFonts w:ascii="Arial" w:eastAsiaTheme="minorEastAsia" w:hAnsi="Arial" w:cs="Arial"/>
          <w:b w:val="0"/>
          <w:sz w:val="22"/>
          <w:szCs w:val="22"/>
          <w:lang w:val="en-GB"/>
        </w:rPr>
      </w:pP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Here, we provide an example to show that it is possible to prioritize </w:t>
      </w:r>
      <w:r w:rsidRPr="00EA604C">
        <w:rPr>
          <w:rFonts w:ascii="Arial" w:eastAsiaTheme="minorEastAsia" w:hAnsi="Arial" w:cs="Arial"/>
          <w:b w:val="0"/>
          <w:sz w:val="22"/>
          <w:szCs w:val="22"/>
          <w:lang w:val="en-GB"/>
        </w:rPr>
        <w:t>FR1 intra-freq. MOs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by the agreed gap sharing scheme in EN-DC and SA mode. Assume that there are 3 MOs (</w:t>
      </w:r>
      <w:r w:rsidRPr="00EA604C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intra-freq.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MO </w:t>
      </w:r>
      <w:r w:rsidRPr="00EA604C">
        <w:rPr>
          <w:rFonts w:ascii="Arial" w:eastAsiaTheme="minorEastAsia" w:hAnsi="Arial" w:cs="Arial"/>
          <w:b w:val="0"/>
          <w:sz w:val="22"/>
          <w:szCs w:val="22"/>
          <w:lang w:val="en-GB"/>
        </w:rPr>
        <w:t>in FR1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, </w:t>
      </w:r>
      <w:r w:rsidRPr="00EA604C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intra-freq.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MO </w:t>
      </w:r>
      <w:r w:rsidRPr="00EA604C">
        <w:rPr>
          <w:rFonts w:ascii="Arial" w:eastAsiaTheme="minorEastAsia" w:hAnsi="Arial" w:cs="Arial"/>
          <w:b w:val="0"/>
          <w:sz w:val="22"/>
          <w:szCs w:val="22"/>
          <w:lang w:val="en-GB"/>
        </w:rPr>
        <w:t>in FR2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, and inter-freq. MO) to be measured within measurement gap and the MGRP is set as 20ms. In Table 1 and Table 2, we list the settings of gap sharing factors and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lastRenderedPageBreak/>
        <w:t xml:space="preserve">the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>corresponding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>settings of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SMTC configurations of these 3 MOs. The basic measurement periods (without multiple with the required samples) are calculated as well. If we compare the measurement periods of these 2 tables, we can find that the same results are obtained, even though the gap sharing schemes, gap sharing factors, and SMTC configurations are different.     </w:t>
      </w:r>
    </w:p>
    <w:p w14:paraId="0A01DAB4" w14:textId="77777777" w:rsidR="00EA604C" w:rsidRDefault="00EA604C" w:rsidP="00EA604C"/>
    <w:p w14:paraId="45FA2134" w14:textId="0FB31857" w:rsidR="00EA604C" w:rsidRPr="00EA604C" w:rsidRDefault="00EA604C" w:rsidP="00EA604C">
      <w:pPr>
        <w:jc w:val="center"/>
        <w:rPr>
          <w:rFonts w:ascii="Arial" w:hAnsi="Arial" w:cs="Arial"/>
          <w:b/>
          <w:sz w:val="20"/>
          <w:szCs w:val="20"/>
        </w:rPr>
      </w:pP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Table 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fldChar w:fldCharType="begin"/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instrText xml:space="preserve"> SEQ Table \* ARABIC </w:instrTex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fldChar w:fldCharType="separate"/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1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fldChar w:fldCharType="end"/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:</w:t>
      </w:r>
      <w:r w:rsidRPr="00EA604C">
        <w:rPr>
          <w:rFonts w:ascii="Arial" w:hAnsi="Arial" w:cs="Arial"/>
          <w:b/>
          <w:sz w:val="20"/>
          <w:szCs w:val="20"/>
        </w:rPr>
        <w:t xml:space="preserve"> 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Gap sharing scheme </w:t>
      </w:r>
      <w:r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proposed 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in WF</w:t>
      </w:r>
      <w:r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 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[1]</w:t>
      </w:r>
      <w:r w:rsidRPr="00EA604C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.</w:t>
      </w:r>
    </w:p>
    <w:tbl>
      <w:tblPr>
        <w:tblW w:w="76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20"/>
        <w:gridCol w:w="3820"/>
      </w:tblGrid>
      <w:tr w:rsidR="00EA604C" w:rsidRPr="00EA604C" w14:paraId="7F5AD9DB" w14:textId="77777777" w:rsidTr="00EA604C">
        <w:trPr>
          <w:trHeight w:val="191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9DDFF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Pool A (K=2)</w:t>
            </w: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665C3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Pool B (K=2)</w:t>
            </w:r>
          </w:p>
        </w:tc>
      </w:tr>
      <w:tr w:rsidR="00EA604C" w:rsidRPr="00EA604C" w14:paraId="5674D111" w14:textId="77777777" w:rsidTr="00EA604C">
        <w:trPr>
          <w:trHeight w:val="758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495AD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  <w:highlight w:val="yellow"/>
              </w:rPr>
              <w:t>MO1</w:t>
            </w: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</w:rPr>
              <w:t xml:space="preserve"> intra-freq. in FR1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  <w:t>SMTC (40ms,0)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Wingdings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2 * 40ms=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80ms</w:t>
            </w: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CEF613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b/>
                <w:szCs w:val="28"/>
              </w:rPr>
            </w:pP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  <w:highlight w:val="yellow"/>
              </w:rPr>
              <w:t>MO2</w:t>
            </w: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</w:rPr>
              <w:t xml:space="preserve"> intra-freq. in FR2</w:t>
            </w:r>
          </w:p>
          <w:p w14:paraId="6AC303C7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SMTC (40ms,0)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Wingdings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4 * 40ms=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160ms</w:t>
            </w:r>
          </w:p>
        </w:tc>
      </w:tr>
      <w:tr w:rsidR="00EA604C" w:rsidRPr="00EA604C" w14:paraId="2646C617" w14:textId="77777777" w:rsidTr="00EA604C">
        <w:trPr>
          <w:trHeight w:val="686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568F8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8CC3B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b/>
                <w:szCs w:val="28"/>
              </w:rPr>
            </w:pP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  <w:highlight w:val="yellow"/>
              </w:rPr>
              <w:t>MO3</w:t>
            </w: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</w:rPr>
              <w:t xml:space="preserve"> inter-freq. </w:t>
            </w:r>
          </w:p>
          <w:p w14:paraId="115FE0FB" w14:textId="77777777" w:rsidR="00EA604C" w:rsidRPr="00EA604C" w:rsidRDefault="00EA604C" w:rsidP="00EA604C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SMTC (40ms,0)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Wingdings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4 * 40ms=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160ms</w:t>
            </w:r>
          </w:p>
        </w:tc>
      </w:tr>
    </w:tbl>
    <w:p w14:paraId="0313FC17" w14:textId="77777777" w:rsidR="00EA604C" w:rsidRDefault="00EA604C" w:rsidP="00EA604C">
      <w:pPr>
        <w:pStyle w:val="Caption"/>
        <w:rPr>
          <w:rFonts w:ascii="Arial" w:hAnsi="Arial" w:cs="Arial"/>
          <w:i/>
          <w:sz w:val="22"/>
          <w:szCs w:val="22"/>
        </w:rPr>
      </w:pPr>
    </w:p>
    <w:p w14:paraId="1883D8E5" w14:textId="0C47CB7A" w:rsidR="00EA604C" w:rsidRPr="00E56B30" w:rsidRDefault="00EA604C" w:rsidP="00EA604C">
      <w:pPr>
        <w:jc w:val="center"/>
        <w:rPr>
          <w:rFonts w:ascii="Arial" w:hAnsi="Arial" w:cs="Arial"/>
          <w:b/>
          <w:sz w:val="20"/>
          <w:szCs w:val="20"/>
        </w:rPr>
      </w:pPr>
      <w:r w:rsidRPr="00E56B30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Table </w:t>
      </w:r>
      <w:r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2</w:t>
      </w:r>
      <w:r w:rsidRPr="00E56B30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:</w:t>
      </w:r>
      <w:r w:rsidRPr="00E56B30">
        <w:rPr>
          <w:rFonts w:ascii="Arial" w:hAnsi="Arial" w:cs="Arial"/>
          <w:b/>
          <w:sz w:val="20"/>
          <w:szCs w:val="20"/>
        </w:rPr>
        <w:t xml:space="preserve"> </w:t>
      </w:r>
      <w:r w:rsidRPr="00E56B30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Gap sharing scheme </w:t>
      </w:r>
      <w:r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specified </w:t>
      </w:r>
      <w:r w:rsidRPr="00E56B30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 xml:space="preserve">in </w:t>
      </w:r>
      <w:r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EN-DC mode and SA mode</w:t>
      </w:r>
      <w:r w:rsidRPr="00E56B30">
        <w:rPr>
          <w:rFonts w:ascii="Arial" w:eastAsia="Times New Roman" w:hAnsi="Arial" w:cs="Arial"/>
          <w:b/>
          <w:color w:val="353630"/>
          <w:kern w:val="24"/>
          <w:sz w:val="20"/>
          <w:szCs w:val="20"/>
        </w:rPr>
        <w:t>.</w:t>
      </w:r>
    </w:p>
    <w:tbl>
      <w:tblPr>
        <w:tblW w:w="76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20"/>
        <w:gridCol w:w="3820"/>
      </w:tblGrid>
      <w:tr w:rsidR="00EA604C" w:rsidRPr="00E56B30" w14:paraId="048F947E" w14:textId="77777777" w:rsidTr="00E56B30">
        <w:trPr>
          <w:trHeight w:val="191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48B82" w14:textId="0FC661F0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Pool A (K=4/3)</w:t>
            </w: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8A430" w14:textId="6C6696D1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Pool B (K=4)</w:t>
            </w:r>
          </w:p>
        </w:tc>
      </w:tr>
      <w:tr w:rsidR="00EA604C" w:rsidRPr="00E56B30" w14:paraId="1C91C388" w14:textId="77777777" w:rsidTr="00E56B30">
        <w:trPr>
          <w:trHeight w:val="758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404B17" w14:textId="11D45074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  <w:highlight w:val="yellow"/>
              </w:rPr>
              <w:t>MO1</w:t>
            </w:r>
            <w:r w:rsidRPr="00EA604C">
              <w:rPr>
                <w:rFonts w:ascii="Calibri" w:eastAsia="Times New Roman" w:hAnsi="Calibri" w:cs="Arial"/>
                <w:b/>
                <w:color w:val="353630"/>
                <w:kern w:val="24"/>
                <w:szCs w:val="28"/>
              </w:rPr>
              <w:t xml:space="preserve"> intra-freq. in FR1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  <w:t>SMTC (40ms,0)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ceil(4/3) * 40ms=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80ms</w:t>
            </w: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CFC64" w14:textId="77777777" w:rsidR="00EA604C" w:rsidRPr="00EA604C" w:rsidRDefault="00EA604C" w:rsidP="00EA604C">
            <w:pPr>
              <w:pStyle w:val="NormalWeb"/>
              <w:spacing w:before="0" w:after="0"/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</w:rPr>
            </w:pPr>
            <w:r w:rsidRPr="00EA604C"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  <w:highlight w:val="yellow"/>
              </w:rPr>
              <w:t>MO3</w:t>
            </w:r>
            <w:r w:rsidRPr="00EA604C"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</w:rPr>
              <w:t xml:space="preserve"> inter-freq. </w:t>
            </w:r>
          </w:p>
          <w:p w14:paraId="6202B2C9" w14:textId="61CB6490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SMTC 480ms,0)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2 * 80ms 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160ms</w:t>
            </w:r>
          </w:p>
        </w:tc>
      </w:tr>
      <w:tr w:rsidR="00EA604C" w:rsidRPr="00E56B30" w14:paraId="3F2F9531" w14:textId="77777777" w:rsidTr="00E56B30">
        <w:trPr>
          <w:trHeight w:val="686"/>
          <w:jc w:val="center"/>
        </w:trPr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DD927" w14:textId="77777777" w:rsidR="00EA604C" w:rsidRPr="00EA604C" w:rsidRDefault="00EA604C" w:rsidP="00EA604C">
            <w:pPr>
              <w:pStyle w:val="NormalWeb"/>
              <w:spacing w:before="0" w:after="0"/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</w:rPr>
            </w:pPr>
            <w:r w:rsidRPr="00EA604C"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  <w:highlight w:val="yellow"/>
              </w:rPr>
              <w:t>MO2</w:t>
            </w:r>
            <w:r w:rsidRPr="00EA604C">
              <w:rPr>
                <w:rFonts w:ascii="Calibri" w:eastAsia="Times New Roman" w:hAnsi="Calibri"/>
                <w:b/>
                <w:color w:val="353630"/>
                <w:kern w:val="24"/>
                <w:sz w:val="22"/>
                <w:szCs w:val="28"/>
              </w:rPr>
              <w:t xml:space="preserve"> intra-freq. in FR2</w:t>
            </w:r>
          </w:p>
          <w:p w14:paraId="1F06EB36" w14:textId="23E09C24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SMTC (80ms,20ms)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br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sym w:font="Wingdings" w:char="F0E0"/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  <w:t>ceil(4/3) * 80ms=</w:t>
            </w:r>
            <w:r w:rsidRPr="00EA604C">
              <w:rPr>
                <w:rFonts w:ascii="Calibri" w:eastAsia="Times New Roman" w:hAnsi="Calibri" w:cs="Arial"/>
                <w:color w:val="353630"/>
                <w:kern w:val="24"/>
                <w:szCs w:val="28"/>
                <w:highlight w:val="yellow"/>
              </w:rPr>
              <w:t>160ms</w:t>
            </w:r>
          </w:p>
        </w:tc>
        <w:tc>
          <w:tcPr>
            <w:tcW w:w="38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8DE24D" w14:textId="1F647343" w:rsidR="00EA604C" w:rsidRPr="00EA604C" w:rsidRDefault="00EA604C" w:rsidP="00EA604C">
            <w:pPr>
              <w:spacing w:after="0" w:line="240" w:lineRule="auto"/>
              <w:rPr>
                <w:rFonts w:ascii="Calibri" w:eastAsia="Times New Roman" w:hAnsi="Calibri" w:cs="Arial"/>
                <w:color w:val="353630"/>
                <w:kern w:val="24"/>
                <w:szCs w:val="28"/>
              </w:rPr>
            </w:pPr>
          </w:p>
        </w:tc>
      </w:tr>
    </w:tbl>
    <w:p w14:paraId="30BAA817" w14:textId="77777777" w:rsidR="00EA604C" w:rsidRDefault="00EA604C" w:rsidP="00EA604C">
      <w:pPr>
        <w:pStyle w:val="Caption"/>
        <w:rPr>
          <w:rFonts w:ascii="Arial" w:hAnsi="Arial" w:cs="Arial"/>
          <w:i/>
          <w:sz w:val="22"/>
          <w:szCs w:val="22"/>
        </w:rPr>
      </w:pPr>
    </w:p>
    <w:p w14:paraId="0A698FA9" w14:textId="65E57494" w:rsidR="00E03CCE" w:rsidRPr="00EA604C" w:rsidRDefault="00E03CCE" w:rsidP="00EA604C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7646988"/>
      <w:bookmarkStart w:id="8" w:name="_Ref7849734"/>
      <w:r w:rsidRPr="00EA604C">
        <w:rPr>
          <w:rFonts w:ascii="Arial" w:hAnsi="Arial" w:cs="Arial"/>
          <w:i/>
          <w:sz w:val="22"/>
          <w:szCs w:val="22"/>
        </w:rPr>
        <w:t xml:space="preserve">Observation </w:t>
      </w:r>
      <w:r w:rsidRPr="00EA604C">
        <w:rPr>
          <w:rFonts w:ascii="Arial" w:hAnsi="Arial" w:cs="Arial"/>
          <w:i/>
          <w:sz w:val="22"/>
          <w:szCs w:val="22"/>
        </w:rPr>
        <w:fldChar w:fldCharType="begin"/>
      </w:r>
      <w:r w:rsidRPr="00EA604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EA604C">
        <w:rPr>
          <w:rFonts w:ascii="Arial" w:hAnsi="Arial" w:cs="Arial"/>
          <w:i/>
          <w:sz w:val="22"/>
          <w:szCs w:val="22"/>
        </w:rPr>
        <w:fldChar w:fldCharType="separate"/>
      </w:r>
      <w:r w:rsidRPr="00EA604C">
        <w:rPr>
          <w:rFonts w:ascii="Arial" w:hAnsi="Arial" w:cs="Arial"/>
          <w:i/>
          <w:sz w:val="22"/>
          <w:szCs w:val="22"/>
        </w:rPr>
        <w:t>1</w:t>
      </w:r>
      <w:r w:rsidRPr="00EA604C">
        <w:rPr>
          <w:rFonts w:ascii="Arial" w:hAnsi="Arial" w:cs="Arial"/>
          <w:i/>
          <w:sz w:val="22"/>
          <w:szCs w:val="22"/>
        </w:rPr>
        <w:fldChar w:fldCharType="end"/>
      </w:r>
      <w:r w:rsidRPr="00EA604C">
        <w:rPr>
          <w:rFonts w:ascii="Arial" w:hAnsi="Arial" w:cs="Arial"/>
          <w:i/>
          <w:sz w:val="22"/>
          <w:szCs w:val="22"/>
        </w:rPr>
        <w:t>: Current gap sharing scheme can also provide flexibility to prioritize the FR1 intra-frequency measurement object</w:t>
      </w:r>
      <w:r>
        <w:rPr>
          <w:rFonts w:ascii="Arial" w:hAnsi="Arial" w:cs="Arial"/>
          <w:i/>
          <w:sz w:val="22"/>
          <w:szCs w:val="22"/>
        </w:rPr>
        <w:t>.</w:t>
      </w:r>
      <w:bookmarkEnd w:id="8"/>
    </w:p>
    <w:bookmarkEnd w:id="7"/>
    <w:p w14:paraId="791C916F" w14:textId="77777777" w:rsidR="00B27A9C" w:rsidRDefault="00B27A9C" w:rsidP="00B27A9C">
      <w:pPr>
        <w:jc w:val="both"/>
        <w:rPr>
          <w:rFonts w:ascii="Arial" w:hAnsi="Arial" w:cs="Arial"/>
          <w:lang w:val="en-GB"/>
        </w:rPr>
      </w:pPr>
    </w:p>
    <w:p w14:paraId="732DC851" w14:textId="58148F6E" w:rsidR="00E03CCE" w:rsidRDefault="00EA604C" w:rsidP="00616CE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Though we have shown that both of these 2 gap sharing schemes can prioritize the </w:t>
      </w:r>
      <w:r w:rsidRPr="00EA604C">
        <w:rPr>
          <w:rFonts w:ascii="Arial" w:hAnsi="Arial" w:cs="Arial"/>
          <w:lang w:val="en-GB"/>
        </w:rPr>
        <w:t>intra-freq. MO in FR1</w:t>
      </w:r>
      <w:r>
        <w:rPr>
          <w:rFonts w:ascii="Arial" w:hAnsi="Arial" w:cs="Arial"/>
          <w:lang w:val="en-GB"/>
        </w:rPr>
        <w:t xml:space="preserve">, we have a concern on the new proposed </w:t>
      </w:r>
      <w:r w:rsidRPr="00EA604C">
        <w:rPr>
          <w:rFonts w:ascii="Arial" w:hAnsi="Arial" w:cs="Arial"/>
          <w:lang w:val="en-GB"/>
        </w:rPr>
        <w:t>g</w:t>
      </w:r>
      <w:r w:rsidRPr="00EA604C">
        <w:rPr>
          <w:rFonts w:ascii="Arial" w:hAnsi="Arial" w:cs="Arial"/>
          <w:lang w:val="en-GB"/>
        </w:rPr>
        <w:t>ap sharing scheme [1].</w:t>
      </w:r>
      <w:r>
        <w:rPr>
          <w:rFonts w:ascii="Arial" w:hAnsi="Arial" w:cs="Arial"/>
          <w:lang w:val="en-GB"/>
        </w:rPr>
        <w:t xml:space="preserve"> From our understanding, in conventional gap sharing scheme t</w:t>
      </w:r>
      <w:r w:rsidR="00E03CCE">
        <w:rPr>
          <w:rFonts w:ascii="Arial" w:hAnsi="Arial" w:cs="Arial"/>
          <w:lang w:val="en-GB"/>
        </w:rPr>
        <w:t xml:space="preserve">he intra-freq. MOs and inter-freq. MOs are separated into 2 groups because </w:t>
      </w:r>
    </w:p>
    <w:p w14:paraId="509B7347" w14:textId="558F43A0" w:rsidR="00E03CCE" w:rsidRDefault="00EA604C" w:rsidP="00EA604C">
      <w:pPr>
        <w:pStyle w:val="ListParagraph"/>
        <w:numPr>
          <w:ilvl w:val="0"/>
          <w:numId w:val="91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Group 1: </w:t>
      </w:r>
      <w:r w:rsidR="00E03CCE" w:rsidRPr="00EA604C">
        <w:rPr>
          <w:rFonts w:ascii="Arial" w:hAnsi="Arial" w:cs="Arial"/>
          <w:lang w:val="en-GB"/>
        </w:rPr>
        <w:t>Intra-freq. MOs</w:t>
      </w:r>
      <w:r w:rsidR="00E03CCE">
        <w:rPr>
          <w:rFonts w:ascii="Arial" w:hAnsi="Arial" w:cs="Arial"/>
          <w:lang w:val="en-GB"/>
        </w:rPr>
        <w:t xml:space="preserve"> are mandated to be measured.</w:t>
      </w:r>
    </w:p>
    <w:p w14:paraId="5F5C0687" w14:textId="27CF5EC1" w:rsidR="00E03CCE" w:rsidRPr="00EA604C" w:rsidRDefault="00EA604C" w:rsidP="00EA604C">
      <w:pPr>
        <w:pStyle w:val="ListParagraph"/>
        <w:numPr>
          <w:ilvl w:val="0"/>
          <w:numId w:val="91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Group 2: </w:t>
      </w:r>
      <w:r w:rsidR="00E03CCE">
        <w:rPr>
          <w:rFonts w:ascii="Arial" w:hAnsi="Arial" w:cs="Arial"/>
          <w:lang w:val="en-GB"/>
        </w:rPr>
        <w:t xml:space="preserve">Inter-freq. MOs are configured to be measured. </w:t>
      </w:r>
      <w:r>
        <w:rPr>
          <w:rFonts w:ascii="Arial" w:hAnsi="Arial" w:cs="Arial"/>
          <w:lang w:val="en-GB"/>
        </w:rPr>
        <w:t xml:space="preserve">However, </w:t>
      </w:r>
      <w:r w:rsidR="00E03CCE">
        <w:rPr>
          <w:rFonts w:ascii="Arial" w:hAnsi="Arial" w:cs="Arial"/>
          <w:lang w:val="en-GB"/>
        </w:rPr>
        <w:t xml:space="preserve">UE may not be able to observe </w:t>
      </w:r>
      <w:r>
        <w:rPr>
          <w:rFonts w:ascii="Arial" w:hAnsi="Arial" w:cs="Arial"/>
          <w:lang w:val="en-GB"/>
        </w:rPr>
        <w:t>all of them, so UE can</w:t>
      </w:r>
      <w:r w:rsidR="00E03CCE">
        <w:rPr>
          <w:rFonts w:ascii="Arial" w:hAnsi="Arial" w:cs="Arial"/>
          <w:lang w:val="en-GB"/>
        </w:rPr>
        <w:t xml:space="preserve"> determine its own monitor</w:t>
      </w:r>
      <w:r>
        <w:rPr>
          <w:rFonts w:ascii="Arial" w:hAnsi="Arial" w:cs="Arial"/>
          <w:lang w:val="en-GB"/>
        </w:rPr>
        <w:t>ing</w:t>
      </w:r>
      <w:r w:rsidR="00E03CCE">
        <w:rPr>
          <w:rFonts w:ascii="Arial" w:hAnsi="Arial" w:cs="Arial"/>
          <w:lang w:val="en-GB"/>
        </w:rPr>
        <w:t xml:space="preserve"> list.  </w:t>
      </w:r>
    </w:p>
    <w:p w14:paraId="6850BFEC" w14:textId="28DE40CC" w:rsidR="00E03CCE" w:rsidRDefault="00EA604C" w:rsidP="00616CE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That is to say, t</w:t>
      </w:r>
      <w:r w:rsidR="00E03CCE">
        <w:rPr>
          <w:rFonts w:ascii="Arial" w:hAnsi="Arial" w:cs="Arial"/>
          <w:lang w:val="en-GB"/>
        </w:rPr>
        <w:t>he number of MOs being monitored in the 2</w:t>
      </w:r>
      <w:r w:rsidR="00E03CCE" w:rsidRPr="00EA604C">
        <w:rPr>
          <w:rFonts w:ascii="Arial" w:hAnsi="Arial" w:cs="Arial"/>
          <w:vertAlign w:val="superscript"/>
          <w:lang w:val="en-GB"/>
        </w:rPr>
        <w:t>nd</w:t>
      </w:r>
      <w:r w:rsidR="00E03CCE">
        <w:rPr>
          <w:rFonts w:ascii="Arial" w:hAnsi="Arial" w:cs="Arial"/>
          <w:lang w:val="en-GB"/>
        </w:rPr>
        <w:t xml:space="preserve"> group </w:t>
      </w:r>
      <w:r>
        <w:rPr>
          <w:rFonts w:ascii="Arial" w:hAnsi="Arial" w:cs="Arial"/>
          <w:lang w:val="en-GB"/>
        </w:rPr>
        <w:t>are not guaranteed. If we move the i</w:t>
      </w:r>
      <w:r w:rsidRPr="00E56B30">
        <w:rPr>
          <w:rFonts w:ascii="Arial" w:hAnsi="Arial" w:cs="Arial"/>
          <w:lang w:val="en-GB"/>
        </w:rPr>
        <w:t>ntra-freq. MOs</w:t>
      </w:r>
      <w:r>
        <w:rPr>
          <w:rFonts w:ascii="Arial" w:hAnsi="Arial" w:cs="Arial"/>
          <w:lang w:val="en-GB"/>
        </w:rPr>
        <w:t xml:space="preserve"> in FR2 into the </w:t>
      </w:r>
      <w:r>
        <w:rPr>
          <w:rFonts w:ascii="Arial" w:hAnsi="Arial" w:cs="Arial"/>
          <w:lang w:val="en-GB"/>
        </w:rPr>
        <w:t>2</w:t>
      </w:r>
      <w:r w:rsidRPr="00E56B30">
        <w:rPr>
          <w:rFonts w:ascii="Arial" w:hAnsi="Arial" w:cs="Arial"/>
          <w:vertAlign w:val="superscript"/>
          <w:lang w:val="en-GB"/>
        </w:rPr>
        <w:t>nd</w:t>
      </w:r>
      <w:r>
        <w:rPr>
          <w:rFonts w:ascii="Arial" w:hAnsi="Arial" w:cs="Arial"/>
          <w:lang w:val="en-GB"/>
        </w:rPr>
        <w:t xml:space="preserve"> group, the measurement periods may become hard to be controlled.  </w:t>
      </w:r>
    </w:p>
    <w:p w14:paraId="04EEB180" w14:textId="6BB6690B" w:rsidR="00B27A9C" w:rsidRDefault="009D05EB" w:rsidP="009D05EB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7334942"/>
      <w:bookmarkStart w:id="10" w:name="_Ref7646661"/>
      <w:bookmarkStart w:id="11" w:name="_Ref7345024"/>
      <w:r w:rsidRPr="009006C0">
        <w:rPr>
          <w:rFonts w:ascii="Arial" w:hAnsi="Arial" w:cs="Arial"/>
          <w:i/>
          <w:sz w:val="22"/>
          <w:szCs w:val="22"/>
        </w:rPr>
        <w:t xml:space="preserve">Observation </w:t>
      </w:r>
      <w:r w:rsidRPr="009006C0">
        <w:rPr>
          <w:rFonts w:ascii="Arial" w:hAnsi="Arial" w:cs="Arial"/>
          <w:i/>
          <w:sz w:val="22"/>
          <w:szCs w:val="22"/>
        </w:rPr>
        <w:fldChar w:fldCharType="begin"/>
      </w:r>
      <w:r w:rsidRPr="009006C0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9006C0">
        <w:rPr>
          <w:rFonts w:ascii="Arial" w:hAnsi="Arial" w:cs="Arial"/>
          <w:i/>
          <w:sz w:val="22"/>
          <w:szCs w:val="22"/>
        </w:rPr>
        <w:fldChar w:fldCharType="separate"/>
      </w:r>
      <w:r w:rsidR="00E03CCE">
        <w:rPr>
          <w:rFonts w:ascii="Arial" w:hAnsi="Arial" w:cs="Arial"/>
          <w:i/>
          <w:sz w:val="22"/>
          <w:szCs w:val="22"/>
        </w:rPr>
        <w:t>2</w:t>
      </w:r>
      <w:r w:rsidRPr="009006C0">
        <w:rPr>
          <w:rFonts w:ascii="Arial" w:hAnsi="Arial" w:cs="Arial"/>
          <w:i/>
          <w:sz w:val="22"/>
          <w:szCs w:val="22"/>
        </w:rPr>
        <w:fldChar w:fldCharType="end"/>
      </w:r>
      <w:bookmarkEnd w:id="9"/>
      <w:r w:rsidRPr="00EA604C">
        <w:rPr>
          <w:rFonts w:ascii="Arial" w:hAnsi="Arial" w:cs="Arial"/>
          <w:i/>
          <w:sz w:val="22"/>
          <w:szCs w:val="22"/>
        </w:rPr>
        <w:t xml:space="preserve">: </w:t>
      </w:r>
      <w:r w:rsidR="00EA604C" w:rsidRPr="00EA604C">
        <w:rPr>
          <w:rFonts w:ascii="Arial" w:hAnsi="Arial" w:cs="Arial"/>
          <w:i/>
          <w:sz w:val="22"/>
          <w:szCs w:val="22"/>
        </w:rPr>
        <w:t xml:space="preserve">The measurement periods of intra-freq. MOs in FR2 may become hard to </w:t>
      </w:r>
      <w:r w:rsidR="00EA604C">
        <w:rPr>
          <w:rFonts w:ascii="Arial" w:hAnsi="Arial" w:cs="Arial"/>
          <w:i/>
          <w:sz w:val="22"/>
          <w:szCs w:val="22"/>
        </w:rPr>
        <w:t xml:space="preserve">be </w:t>
      </w:r>
      <w:r w:rsidR="00EA604C" w:rsidRPr="00EA604C">
        <w:rPr>
          <w:rFonts w:ascii="Arial" w:hAnsi="Arial" w:cs="Arial"/>
          <w:i/>
          <w:sz w:val="22"/>
          <w:szCs w:val="22"/>
        </w:rPr>
        <w:t>control</w:t>
      </w:r>
      <w:r w:rsidR="00EA604C">
        <w:rPr>
          <w:rFonts w:ascii="Arial" w:hAnsi="Arial" w:cs="Arial"/>
          <w:i/>
          <w:sz w:val="22"/>
          <w:szCs w:val="22"/>
        </w:rPr>
        <w:t>led</w:t>
      </w:r>
      <w:r w:rsidR="00EA604C" w:rsidRPr="00EA604C">
        <w:rPr>
          <w:rFonts w:ascii="Arial" w:hAnsi="Arial" w:cs="Arial"/>
          <w:i/>
          <w:sz w:val="22"/>
          <w:szCs w:val="22"/>
        </w:rPr>
        <w:t xml:space="preserve"> if they are measured in the second group.</w:t>
      </w:r>
      <w:bookmarkEnd w:id="10"/>
    </w:p>
    <w:p w14:paraId="33709EE9" w14:textId="03BB220C" w:rsidR="00E03CCE" w:rsidRPr="00EA604C" w:rsidRDefault="00EA604C" w:rsidP="00EA604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to simplify the gap sharing design, we propose to reuse the conventional scheme in NE-DC mod and NR-DC mode</w:t>
      </w:r>
      <w:r w:rsidR="00E03CCE">
        <w:rPr>
          <w:rFonts w:ascii="Arial" w:hAnsi="Arial" w:cs="Arial"/>
          <w:lang w:val="en-GB"/>
        </w:rPr>
        <w:t xml:space="preserve"> </w:t>
      </w:r>
    </w:p>
    <w:p w14:paraId="4B422BC4" w14:textId="0280E709" w:rsidR="00A91775" w:rsidRPr="00EA604C" w:rsidRDefault="00E03CCE" w:rsidP="00EA604C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7849778"/>
      <w:r w:rsidRPr="00EA604C">
        <w:rPr>
          <w:rFonts w:ascii="Arial" w:hAnsi="Arial" w:cs="Arial"/>
          <w:i/>
          <w:sz w:val="22"/>
          <w:szCs w:val="22"/>
        </w:rPr>
        <w:t xml:space="preserve">Proposal </w:t>
      </w:r>
      <w:r w:rsidRPr="00EA604C">
        <w:rPr>
          <w:rFonts w:ascii="Arial" w:hAnsi="Arial" w:cs="Arial"/>
          <w:i/>
          <w:sz w:val="22"/>
          <w:szCs w:val="22"/>
        </w:rPr>
        <w:fldChar w:fldCharType="begin"/>
      </w:r>
      <w:r w:rsidRPr="00EA604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A604C">
        <w:rPr>
          <w:rFonts w:ascii="Arial" w:hAnsi="Arial" w:cs="Arial"/>
          <w:i/>
          <w:sz w:val="22"/>
          <w:szCs w:val="22"/>
        </w:rPr>
        <w:fldChar w:fldCharType="separate"/>
      </w:r>
      <w:r w:rsidRPr="00EA604C">
        <w:rPr>
          <w:rFonts w:ascii="Arial" w:hAnsi="Arial" w:cs="Arial"/>
          <w:i/>
          <w:sz w:val="22"/>
          <w:szCs w:val="22"/>
        </w:rPr>
        <w:t>1</w:t>
      </w:r>
      <w:r w:rsidRPr="00EA604C">
        <w:rPr>
          <w:rFonts w:ascii="Arial" w:hAnsi="Arial" w:cs="Arial"/>
          <w:i/>
          <w:sz w:val="22"/>
          <w:szCs w:val="22"/>
        </w:rPr>
        <w:fldChar w:fldCharType="end"/>
      </w:r>
      <w:r w:rsidRPr="00EA604C">
        <w:rPr>
          <w:rFonts w:ascii="Arial" w:hAnsi="Arial" w:cs="Arial"/>
          <w:i/>
          <w:sz w:val="22"/>
          <w:szCs w:val="22"/>
        </w:rPr>
        <w:t xml:space="preserve">: Reuse </w:t>
      </w:r>
      <w:r w:rsidR="00EA604C">
        <w:rPr>
          <w:rFonts w:ascii="Arial" w:hAnsi="Arial" w:cs="Arial"/>
          <w:i/>
          <w:sz w:val="22"/>
          <w:szCs w:val="22"/>
        </w:rPr>
        <w:t xml:space="preserve">the </w:t>
      </w:r>
      <w:r>
        <w:rPr>
          <w:rFonts w:ascii="Arial" w:hAnsi="Arial" w:cs="Arial"/>
          <w:i/>
          <w:sz w:val="22"/>
          <w:szCs w:val="22"/>
        </w:rPr>
        <w:t xml:space="preserve">EN-DC </w:t>
      </w:r>
      <w:r w:rsidR="00EA604C">
        <w:rPr>
          <w:rFonts w:ascii="Arial" w:hAnsi="Arial" w:cs="Arial"/>
          <w:i/>
          <w:sz w:val="22"/>
          <w:szCs w:val="22"/>
        </w:rPr>
        <w:t xml:space="preserve">and SA </w:t>
      </w:r>
      <w:r w:rsidRPr="00EA604C">
        <w:rPr>
          <w:rFonts w:ascii="Arial" w:hAnsi="Arial" w:cs="Arial"/>
          <w:i/>
          <w:sz w:val="22"/>
          <w:szCs w:val="22"/>
        </w:rPr>
        <w:t xml:space="preserve">gap sharing scheme </w:t>
      </w:r>
      <w:r>
        <w:rPr>
          <w:rFonts w:ascii="Arial" w:hAnsi="Arial" w:cs="Arial"/>
          <w:i/>
          <w:sz w:val="22"/>
          <w:szCs w:val="22"/>
        </w:rPr>
        <w:t>in NE-DC and NR-DC.</w:t>
      </w:r>
      <w:bookmarkEnd w:id="12"/>
    </w:p>
    <w:bookmarkEnd w:id="0"/>
    <w:bookmarkEnd w:id="1"/>
    <w:bookmarkEnd w:id="3"/>
    <w:bookmarkEnd w:id="4"/>
    <w:bookmarkEnd w:id="5"/>
    <w:bookmarkEnd w:id="6"/>
    <w:bookmarkEnd w:id="11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53B9CEEA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 we observe that</w:t>
      </w:r>
    </w:p>
    <w:p w14:paraId="39D953B1" w14:textId="39622562" w:rsidR="00EA604C" w:rsidRDefault="00EA604C" w:rsidP="00A91775">
      <w:pPr>
        <w:pStyle w:val="TAL"/>
        <w:jc w:val="both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_Ref7849734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Pr="00EA604C">
        <w:rPr>
          <w:rFonts w:cs="Arial"/>
          <w:i/>
          <w:sz w:val="22"/>
        </w:rPr>
        <w:t>Obse</w:t>
      </w:r>
      <w:r w:rsidRPr="00EA604C">
        <w:rPr>
          <w:rFonts w:cs="Arial"/>
          <w:b/>
          <w:i/>
          <w:sz w:val="22"/>
        </w:rPr>
        <w:t>rvation 1: Current gap sharing scheme can also provide flexibility to prioritize the FR1 intra-frequency measurement object.</w:t>
      </w:r>
      <w:r>
        <w:rPr>
          <w:rFonts w:cs="Arial"/>
          <w:b/>
          <w:i/>
          <w:sz w:val="22"/>
        </w:rPr>
        <w:fldChar w:fldCharType="end"/>
      </w:r>
    </w:p>
    <w:p w14:paraId="595FA085" w14:textId="1735B203" w:rsidR="00A91775" w:rsidRDefault="00A91775" w:rsidP="00A91775">
      <w:pPr>
        <w:pStyle w:val="TAL"/>
        <w:jc w:val="both"/>
        <w:rPr>
          <w:rFonts w:cs="Arial"/>
          <w:b/>
          <w:i/>
          <w:sz w:val="22"/>
        </w:rPr>
      </w:pPr>
      <w:r w:rsidRPr="00A91775">
        <w:rPr>
          <w:rFonts w:cs="Arial"/>
          <w:b/>
          <w:i/>
          <w:sz w:val="22"/>
        </w:rPr>
        <w:fldChar w:fldCharType="begin"/>
      </w:r>
      <w:r w:rsidRPr="00A91775">
        <w:rPr>
          <w:rFonts w:cs="Arial"/>
          <w:b/>
          <w:i/>
          <w:sz w:val="22"/>
        </w:rPr>
        <w:instrText xml:space="preserve"> REF _Ref7646661 \h </w:instrText>
      </w:r>
      <w:r>
        <w:rPr>
          <w:rFonts w:cs="Arial"/>
          <w:b/>
          <w:i/>
          <w:sz w:val="22"/>
        </w:rPr>
        <w:instrText xml:space="preserve"> \* MERGEFORMAT </w:instrText>
      </w:r>
      <w:r w:rsidRPr="00A91775">
        <w:rPr>
          <w:rFonts w:cs="Arial"/>
          <w:b/>
          <w:i/>
          <w:sz w:val="22"/>
        </w:rPr>
      </w:r>
      <w:r w:rsidRPr="00A91775">
        <w:rPr>
          <w:rFonts w:cs="Arial"/>
          <w:b/>
          <w:i/>
          <w:sz w:val="22"/>
        </w:rPr>
        <w:fldChar w:fldCharType="separate"/>
      </w:r>
      <w:r w:rsidR="00EA604C" w:rsidRPr="00EA604C">
        <w:rPr>
          <w:rFonts w:cs="Arial"/>
          <w:b/>
          <w:i/>
          <w:sz w:val="22"/>
        </w:rPr>
        <w:t>Observation 2: The measurement periods of intra-freq. MOs in FR2 may become hard to be controlled if they are measured in the second group.</w:t>
      </w:r>
      <w:r w:rsidRPr="00A91775">
        <w:rPr>
          <w:rFonts w:cs="Arial"/>
          <w:b/>
          <w:i/>
          <w:sz w:val="22"/>
        </w:rPr>
        <w:fldChar w:fldCharType="end"/>
      </w:r>
    </w:p>
    <w:p w14:paraId="5E17CE35" w14:textId="77777777" w:rsidR="00A5020A" w:rsidRPr="000D0A91" w:rsidRDefault="00A5020A" w:rsidP="00B93A16">
      <w:pPr>
        <w:pStyle w:val="TAL"/>
        <w:jc w:val="both"/>
        <w:rPr>
          <w:rFonts w:cs="Arial"/>
          <w:b/>
          <w:i/>
          <w:sz w:val="24"/>
        </w:rPr>
      </w:pPr>
    </w:p>
    <w:p w14:paraId="4DE69A55" w14:textId="77777777" w:rsidR="00A5020A" w:rsidRDefault="00A5020A" w:rsidP="00A5020A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0627A0FE" w14:textId="0DC9E03B" w:rsidR="00A91775" w:rsidRPr="00A91775" w:rsidRDefault="00EA604C" w:rsidP="008B5AB1">
      <w:pPr>
        <w:pStyle w:val="TAL"/>
        <w:jc w:val="both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_Ref7849778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Pr="00EA604C">
        <w:rPr>
          <w:rFonts w:cs="Arial"/>
          <w:b/>
          <w:i/>
          <w:sz w:val="22"/>
        </w:rPr>
        <w:t>Proposal 1: Reuse the EN-DC and SA gap sharing scheme in NE-DC and NR-DC.</w:t>
      </w:r>
      <w:r>
        <w:rPr>
          <w:rFonts w:cs="Arial"/>
          <w:b/>
          <w:i/>
          <w:sz w:val="22"/>
        </w:rPr>
        <w:fldChar w:fldCharType="end"/>
      </w:r>
    </w:p>
    <w:p w14:paraId="171151A8" w14:textId="721C1451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7CC824E" w14:textId="3A3466DA" w:rsidR="00E03CCE" w:rsidRDefault="00E03CCE" w:rsidP="00E03CCE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13" w:name="_Ref7353143"/>
      <w:r w:rsidRPr="00E03CCE">
        <w:rPr>
          <w:rFonts w:ascii="Arial" w:hAnsi="Arial" w:cs="Arial"/>
        </w:rPr>
        <w:t>R4-1902621</w:t>
      </w:r>
      <w:r w:rsidRPr="00E03CCE">
        <w:rPr>
          <w:rFonts w:ascii="Arial" w:hAnsi="Arial" w:cs="Arial"/>
        </w:rPr>
        <w:tab/>
        <w:t>“Way forward on gap sharing for NE-DC and NR-DC”, Samsung</w:t>
      </w:r>
      <w:r>
        <w:rPr>
          <w:rFonts w:ascii="Arial" w:hAnsi="Arial" w:cs="Arial"/>
        </w:rPr>
        <w:t>, KDDI, Verizon Wireless</w:t>
      </w:r>
      <w:r w:rsidRPr="00E03CCE">
        <w:rPr>
          <w:rFonts w:ascii="Arial" w:hAnsi="Arial" w:cs="Arial"/>
        </w:rPr>
        <w:t xml:space="preserve"> </w:t>
      </w:r>
    </w:p>
    <w:bookmarkEnd w:id="13"/>
    <w:p w14:paraId="77F05B53" w14:textId="77777777" w:rsidR="00415949" w:rsidRPr="00782BB6" w:rsidRDefault="00415949" w:rsidP="00EA604C">
      <w:pPr>
        <w:ind w:right="72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4E693" w14:textId="77777777" w:rsidR="00CD4543" w:rsidRDefault="00CD4543">
      <w:r>
        <w:separator/>
      </w:r>
    </w:p>
  </w:endnote>
  <w:endnote w:type="continuationSeparator" w:id="0">
    <w:p w14:paraId="18C283E4" w14:textId="77777777" w:rsidR="00CD4543" w:rsidRDefault="00CD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79B56" w14:textId="77777777" w:rsidR="00CD4543" w:rsidRDefault="00CD4543">
      <w:r>
        <w:separator/>
      </w:r>
    </w:p>
  </w:footnote>
  <w:footnote w:type="continuationSeparator" w:id="0">
    <w:p w14:paraId="4987A64C" w14:textId="77777777" w:rsidR="00CD4543" w:rsidRDefault="00CD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0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4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B156DE3"/>
    <w:multiLevelType w:val="hybridMultilevel"/>
    <w:tmpl w:val="CDFA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8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2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3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7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9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7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0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1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2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0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0"/>
  </w:num>
  <w:num w:numId="3">
    <w:abstractNumId w:val="30"/>
  </w:num>
  <w:num w:numId="4">
    <w:abstractNumId w:val="24"/>
  </w:num>
  <w:num w:numId="5">
    <w:abstractNumId w:val="79"/>
  </w:num>
  <w:num w:numId="6">
    <w:abstractNumId w:val="57"/>
  </w:num>
  <w:num w:numId="7">
    <w:abstractNumId w:val="89"/>
  </w:num>
  <w:num w:numId="8">
    <w:abstractNumId w:val="23"/>
  </w:num>
  <w:num w:numId="9">
    <w:abstractNumId w:val="36"/>
  </w:num>
  <w:num w:numId="10">
    <w:abstractNumId w:val="27"/>
  </w:num>
  <w:num w:numId="11">
    <w:abstractNumId w:val="81"/>
  </w:num>
  <w:num w:numId="12">
    <w:abstractNumId w:val="18"/>
  </w:num>
  <w:num w:numId="13">
    <w:abstractNumId w:val="10"/>
  </w:num>
  <w:num w:numId="14">
    <w:abstractNumId w:val="31"/>
  </w:num>
  <w:num w:numId="15">
    <w:abstractNumId w:val="65"/>
  </w:num>
  <w:num w:numId="16">
    <w:abstractNumId w:val="46"/>
  </w:num>
  <w:num w:numId="17">
    <w:abstractNumId w:val="56"/>
  </w:num>
  <w:num w:numId="18">
    <w:abstractNumId w:val="4"/>
  </w:num>
  <w:num w:numId="19">
    <w:abstractNumId w:val="1"/>
  </w:num>
  <w:num w:numId="20">
    <w:abstractNumId w:val="13"/>
  </w:num>
  <w:num w:numId="21">
    <w:abstractNumId w:val="25"/>
  </w:num>
  <w:num w:numId="22">
    <w:abstractNumId w:val="20"/>
  </w:num>
  <w:num w:numId="23">
    <w:abstractNumId w:val="52"/>
  </w:num>
  <w:num w:numId="24">
    <w:abstractNumId w:val="51"/>
  </w:num>
  <w:num w:numId="25">
    <w:abstractNumId w:val="16"/>
  </w:num>
  <w:num w:numId="26">
    <w:abstractNumId w:val="53"/>
  </w:num>
  <w:num w:numId="27">
    <w:abstractNumId w:val="58"/>
  </w:num>
  <w:num w:numId="28">
    <w:abstractNumId w:val="60"/>
  </w:num>
  <w:num w:numId="29">
    <w:abstractNumId w:val="9"/>
  </w:num>
  <w:num w:numId="30">
    <w:abstractNumId w:val="35"/>
  </w:num>
  <w:num w:numId="31">
    <w:abstractNumId w:val="54"/>
  </w:num>
  <w:num w:numId="32">
    <w:abstractNumId w:val="12"/>
  </w:num>
  <w:num w:numId="33">
    <w:abstractNumId w:val="49"/>
  </w:num>
  <w:num w:numId="34">
    <w:abstractNumId w:val="32"/>
  </w:num>
  <w:num w:numId="35">
    <w:abstractNumId w:val="42"/>
  </w:num>
  <w:num w:numId="36">
    <w:abstractNumId w:val="40"/>
  </w:num>
  <w:num w:numId="37">
    <w:abstractNumId w:val="3"/>
  </w:num>
  <w:num w:numId="38">
    <w:abstractNumId w:val="59"/>
  </w:num>
  <w:num w:numId="39">
    <w:abstractNumId w:val="22"/>
  </w:num>
  <w:num w:numId="40">
    <w:abstractNumId w:val="8"/>
  </w:num>
  <w:num w:numId="41">
    <w:abstractNumId w:val="41"/>
  </w:num>
  <w:num w:numId="42">
    <w:abstractNumId w:val="38"/>
  </w:num>
  <w:num w:numId="43">
    <w:abstractNumId w:val="33"/>
  </w:num>
  <w:num w:numId="44">
    <w:abstractNumId w:val="71"/>
  </w:num>
  <w:num w:numId="45">
    <w:abstractNumId w:val="15"/>
  </w:num>
  <w:num w:numId="46">
    <w:abstractNumId w:val="29"/>
  </w:num>
  <w:num w:numId="47">
    <w:abstractNumId w:val="75"/>
  </w:num>
  <w:num w:numId="48">
    <w:abstractNumId w:val="84"/>
  </w:num>
  <w:num w:numId="49">
    <w:abstractNumId w:val="76"/>
  </w:num>
  <w:num w:numId="50">
    <w:abstractNumId w:val="67"/>
  </w:num>
  <w:num w:numId="51">
    <w:abstractNumId w:val="14"/>
  </w:num>
  <w:num w:numId="52">
    <w:abstractNumId w:val="83"/>
  </w:num>
  <w:num w:numId="53">
    <w:abstractNumId w:val="7"/>
  </w:num>
  <w:num w:numId="54">
    <w:abstractNumId w:val="73"/>
  </w:num>
  <w:num w:numId="55">
    <w:abstractNumId w:val="64"/>
  </w:num>
  <w:num w:numId="56">
    <w:abstractNumId w:val="68"/>
  </w:num>
  <w:num w:numId="57">
    <w:abstractNumId w:val="5"/>
  </w:num>
  <w:num w:numId="58">
    <w:abstractNumId w:val="43"/>
  </w:num>
  <w:num w:numId="59">
    <w:abstractNumId w:val="21"/>
  </w:num>
  <w:num w:numId="60">
    <w:abstractNumId w:val="74"/>
  </w:num>
  <w:num w:numId="61">
    <w:abstractNumId w:val="69"/>
  </w:num>
  <w:num w:numId="62">
    <w:abstractNumId w:val="85"/>
  </w:num>
  <w:num w:numId="63">
    <w:abstractNumId w:val="11"/>
  </w:num>
  <w:num w:numId="64">
    <w:abstractNumId w:val="62"/>
  </w:num>
  <w:num w:numId="65">
    <w:abstractNumId w:val="6"/>
  </w:num>
  <w:num w:numId="66">
    <w:abstractNumId w:val="47"/>
  </w:num>
  <w:num w:numId="67">
    <w:abstractNumId w:val="63"/>
  </w:num>
  <w:num w:numId="68">
    <w:abstractNumId w:val="45"/>
  </w:num>
  <w:num w:numId="69">
    <w:abstractNumId w:val="78"/>
  </w:num>
  <w:num w:numId="70">
    <w:abstractNumId w:val="86"/>
  </w:num>
  <w:num w:numId="71">
    <w:abstractNumId w:val="77"/>
  </w:num>
  <w:num w:numId="72">
    <w:abstractNumId w:val="48"/>
  </w:num>
  <w:num w:numId="73">
    <w:abstractNumId w:val="44"/>
  </w:num>
  <w:num w:numId="74">
    <w:abstractNumId w:val="55"/>
  </w:num>
  <w:num w:numId="75">
    <w:abstractNumId w:val="19"/>
  </w:num>
  <w:num w:numId="76">
    <w:abstractNumId w:val="17"/>
  </w:num>
  <w:num w:numId="77">
    <w:abstractNumId w:val="88"/>
  </w:num>
  <w:num w:numId="78">
    <w:abstractNumId w:val="90"/>
  </w:num>
  <w:num w:numId="79">
    <w:abstractNumId w:val="37"/>
  </w:num>
  <w:num w:numId="80">
    <w:abstractNumId w:val="87"/>
  </w:num>
  <w:num w:numId="81">
    <w:abstractNumId w:val="50"/>
  </w:num>
  <w:num w:numId="82">
    <w:abstractNumId w:val="66"/>
  </w:num>
  <w:num w:numId="83">
    <w:abstractNumId w:val="34"/>
  </w:num>
  <w:num w:numId="84">
    <w:abstractNumId w:val="72"/>
  </w:num>
  <w:num w:numId="85">
    <w:abstractNumId w:val="70"/>
  </w:num>
  <w:num w:numId="86">
    <w:abstractNumId w:val="61"/>
  </w:num>
  <w:num w:numId="87">
    <w:abstractNumId w:val="2"/>
  </w:num>
  <w:num w:numId="88">
    <w:abstractNumId w:val="28"/>
  </w:num>
  <w:num w:numId="89">
    <w:abstractNumId w:val="39"/>
  </w:num>
  <w:num w:numId="90">
    <w:abstractNumId w:val="82"/>
  </w:num>
  <w:num w:numId="91">
    <w:abstractNumId w:val="2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543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CCE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04C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CC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3C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3CC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2Char">
    <w:name w:val="B2 Char"/>
    <w:link w:val="B2"/>
    <w:locked/>
    <w:rsid w:val="00E03CCE"/>
    <w:rPr>
      <w:rFonts w:asciiTheme="minorHAnsi" w:eastAsiaTheme="minorEastAsia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E03CCE"/>
    <w:rPr>
      <w:rFonts w:asciiTheme="minorHAnsi" w:eastAsiaTheme="minorEastAsia" w:hAnsiTheme="minorHAnsi" w:cstheme="minorBidi"/>
      <w:sz w:val="22"/>
      <w:szCs w:val="22"/>
    </w:rPr>
  </w:style>
  <w:style w:type="character" w:customStyle="1" w:styleId="3GPPNormalTextChar">
    <w:name w:val="3GPP Normal Text Char"/>
    <w:link w:val="3GPPNormalText"/>
    <w:locked/>
    <w:rsid w:val="00E03CCE"/>
    <w:rPr>
      <w:rFonts w:ascii="Arial" w:eastAsia="MS Mincho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E03CCE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BA66E-63F1-4380-9D57-9A0173A2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2019-05-03T08:33:00Z</dcterms:created>
  <dcterms:modified xsi:type="dcterms:W3CDTF">2019-05-04T00:10:00Z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